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after="156" w:afterLines="50" w:line="440" w:lineRule="exact"/>
        <w:jc w:val="center"/>
        <w:rPr>
          <w:rFonts w:hint="default" w:asciiTheme="minorEastAsia" w:hAnsiTheme="minorEastAsia" w:eastAsiaTheme="minorEastAsia" w:cstheme="minorEastAsia"/>
          <w:b/>
          <w:color w:val="auto"/>
          <w:sz w:val="32"/>
          <w:szCs w:val="32"/>
        </w:rPr>
      </w:pPr>
      <w:r>
        <w:rPr>
          <w:rFonts w:asciiTheme="minorEastAsia" w:hAnsiTheme="minorEastAsia" w:eastAsiaTheme="minorEastAsia" w:cstheme="minorEastAsia"/>
          <w:b/>
          <w:color w:val="auto"/>
          <w:sz w:val="32"/>
          <w:szCs w:val="32"/>
        </w:rPr>
        <w:t>药学全日制学术型硕士研究生培养方案</w:t>
      </w:r>
    </w:p>
    <w:p>
      <w:pPr>
        <w:pStyle w:val="8"/>
        <w:widowControl/>
        <w:spacing w:after="156" w:afterLines="50" w:line="440" w:lineRule="exact"/>
        <w:jc w:val="center"/>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一级学科 药学 1007</w:t>
      </w:r>
    </w:p>
    <w:p>
      <w:pPr>
        <w:pStyle w:val="8"/>
        <w:widowControl/>
        <w:spacing w:line="440" w:lineRule="exact"/>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    学科、专业简介</w:t>
      </w:r>
    </w:p>
    <w:p>
      <w:pPr>
        <w:widowControl/>
        <w:snapToGrid w:val="0"/>
        <w:spacing w:line="440" w:lineRule="exact"/>
        <w:ind w:firstLine="480" w:firstLineChars="20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南京中医药大学药学硕士学位点是在原有生药学、药剂学、药理学三个二级学科学位点建设的基础上，2011年经国务院学位委员会批准设立为一级学科硕士学位点授权点，2012年开始招生。现有研究生导师40名，其中教授27名，副教授13名。</w:t>
      </w:r>
    </w:p>
    <w:p>
      <w:pPr>
        <w:widowControl/>
        <w:snapToGrid w:val="0"/>
        <w:spacing w:line="44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药学硕士学位点下设的各研究方向与药学学科建设目标相适应，已经具有一定的研究生培养经验，教学和科研积淀深厚。</w:t>
      </w:r>
    </w:p>
    <w:p>
      <w:pPr>
        <w:widowControl/>
        <w:snapToGrid w:val="0"/>
        <w:spacing w:line="440" w:lineRule="exact"/>
        <w:ind w:firstLine="480" w:firstLineChars="20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本学位点突出产学研结合，集高校、医院、企业人才培养、科学研究和医药产业发展优势，培养造就能够胜任药学相关高层次岗位需求的高素质研究生人才。</w:t>
      </w:r>
    </w:p>
    <w:p>
      <w:pPr>
        <w:widowControl/>
        <w:spacing w:line="440" w:lineRule="exact"/>
        <w:ind w:firstLine="482" w:firstLineChars="200"/>
        <w:rPr>
          <w:rFonts w:asciiTheme="minorEastAsia" w:hAnsiTheme="minorEastAsia" w:cstheme="minorEastAsia"/>
          <w:b/>
          <w:sz w:val="24"/>
        </w:rPr>
      </w:pPr>
      <w:r>
        <w:rPr>
          <w:rFonts w:hint="eastAsia" w:asciiTheme="minorEastAsia" w:hAnsiTheme="minorEastAsia" w:cstheme="minorEastAsia"/>
          <w:b/>
          <w:kern w:val="0"/>
          <w:sz w:val="24"/>
        </w:rPr>
        <w:t xml:space="preserve">一、培养目标 </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掌握辩证唯物主任和历史唯物主义，具备科学的世界观和方法论，坚持马克思主义、毛泽东思想、邓小平理论、“三个代表”思想、科学发展观和新时期中国特色社会主义理论指导，热爱祖国，遵纪守法，身心健康，品行端正，学风严谨，具有强烈的事业心和奉献精神，积极为社会主义现代化建设服务。 </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在药学专业领域内具有扎实的理论基础、较强的独立从事本专业领域内天然药物资源研究与利用、先导化合物的发现及结构优化、药物设计及合成、药物剂型设计、工艺技术应用研究、药物分析新技术和新方法的研究、药品检定、微生物与生化药物的筛选、新药研发等教学科研工作或独立承担本专业专门技术工作的能力。 </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熟练阅读本专业外文资料，具备较强的听、说、写、译能力。熟悉现代信息技术，具有较强的计算机应用和信息获取和分析的技能。</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hint="default" w:asciiTheme="minorEastAsia" w:hAnsiTheme="minorEastAsia" w:eastAsiaTheme="minorEastAsia" w:cstheme="minorEastAsia"/>
          <w:color w:val="auto"/>
        </w:rPr>
        <w:t>4.</w:t>
      </w:r>
      <w:r>
        <w:rPr>
          <w:rFonts w:asciiTheme="minorEastAsia" w:hAnsiTheme="minorEastAsia" w:eastAsiaTheme="minorEastAsia" w:cstheme="minorEastAsia"/>
          <w:color w:val="auto"/>
        </w:rPr>
        <w:t>掌握现代信息技术，具备获取知识和信息并能够分析、归纳、总结的能力。</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5</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身心健康。 </w:t>
      </w:r>
    </w:p>
    <w:p>
      <w:pPr>
        <w:pStyle w:val="8"/>
        <w:widowControl/>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二、研究方向 </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药物化学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01天然活性化合物的发现及其化学生物学研究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02天然先导结构的活性及成药性优化</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03药物分子设计、合成</w:t>
      </w:r>
      <w:r>
        <w:rPr>
          <w:rFonts w:asciiTheme="minorEastAsia" w:hAnsiTheme="minorEastAsia" w:eastAsiaTheme="minorEastAsia" w:cstheme="minorEastAsia"/>
          <w:color w:val="auto"/>
        </w:rPr>
        <w:t>及构效</w:t>
      </w:r>
      <w:r>
        <w:rPr>
          <w:rFonts w:asciiTheme="minorEastAsia" w:hAnsiTheme="minorEastAsia" w:eastAsiaTheme="minorEastAsia" w:cstheme="minorEastAsia"/>
          <w:color w:val="auto"/>
        </w:rPr>
        <w:t>关系研究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04药物优势骨架构建的方法学研究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05药物优势骨架后期官能团化方法学研究及其应用</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06药物合成工艺优化</w:t>
      </w:r>
    </w:p>
    <w:p>
      <w:pPr>
        <w:pStyle w:val="8"/>
        <w:widowControl/>
        <w:snapToGrid w:val="0"/>
        <w:spacing w:line="440" w:lineRule="exact"/>
        <w:ind w:firstLine="482"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b/>
          <w:color w:val="auto"/>
        </w:rPr>
        <w:t>2</w:t>
      </w:r>
      <w:r>
        <w:rPr>
          <w:rFonts w:hint="default" w:asciiTheme="minorEastAsia" w:hAnsiTheme="minorEastAsia" w:eastAsiaTheme="minorEastAsia" w:cstheme="minorEastAsia"/>
          <w:b/>
          <w:color w:val="auto"/>
        </w:rPr>
        <w:t>.</w:t>
      </w:r>
      <w:r>
        <w:rPr>
          <w:rFonts w:asciiTheme="minorEastAsia" w:hAnsiTheme="minorEastAsia" w:eastAsiaTheme="minorEastAsia" w:cstheme="minorEastAsia"/>
          <w:b/>
          <w:color w:val="auto"/>
        </w:rPr>
        <w:t>药剂学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01高效吸收制剂研究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02基于纳米技术的新型给药系统研究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 xml:space="preserve">03生物药剂学研究 </w:t>
      </w:r>
    </w:p>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3</w:t>
      </w:r>
      <w:r>
        <w:rPr>
          <w:rFonts w:hint="default" w:asciiTheme="minorEastAsia" w:hAnsiTheme="minorEastAsia" w:eastAsiaTheme="minorEastAsia" w:cstheme="minorEastAsia"/>
          <w:b/>
          <w:color w:val="auto"/>
        </w:rPr>
        <w:t>.</w:t>
      </w:r>
      <w:r>
        <w:rPr>
          <w:rFonts w:asciiTheme="minorEastAsia" w:hAnsiTheme="minorEastAsia" w:eastAsiaTheme="minorEastAsia" w:cstheme="minorEastAsia"/>
          <w:b/>
          <w:color w:val="auto"/>
        </w:rPr>
        <w:t>药物分析学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01药物分析新方法、新技术研发与应用</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02药物体内过程分析</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03药物的代谢及</w:t>
      </w:r>
      <w:r>
        <w:rPr>
          <w:rFonts w:asciiTheme="minorEastAsia" w:hAnsiTheme="minorEastAsia" w:eastAsiaTheme="minorEastAsia" w:cstheme="minorEastAsia"/>
          <w:color w:val="auto"/>
        </w:rPr>
        <w:t>代谢组</w:t>
      </w:r>
      <w:r>
        <w:rPr>
          <w:rFonts w:asciiTheme="minorEastAsia" w:hAnsiTheme="minorEastAsia" w:eastAsiaTheme="minorEastAsia" w:cstheme="minorEastAsia"/>
          <w:color w:val="auto"/>
        </w:rPr>
        <w:t xml:space="preserve">学 </w:t>
      </w:r>
    </w:p>
    <w:p>
      <w:pPr>
        <w:pStyle w:val="8"/>
        <w:widowControl/>
        <w:snapToGrid w:val="0"/>
        <w:spacing w:line="440" w:lineRule="exact"/>
        <w:ind w:firstLine="482"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b/>
          <w:color w:val="auto"/>
        </w:rPr>
        <w:t>4</w:t>
      </w:r>
      <w:r>
        <w:rPr>
          <w:rFonts w:hint="default" w:asciiTheme="minorEastAsia" w:hAnsiTheme="minorEastAsia" w:eastAsiaTheme="minorEastAsia" w:cstheme="minorEastAsia"/>
          <w:b/>
          <w:color w:val="auto"/>
        </w:rPr>
        <w:t>.</w:t>
      </w:r>
      <w:r>
        <w:rPr>
          <w:rFonts w:asciiTheme="minorEastAsia" w:hAnsiTheme="minorEastAsia" w:eastAsiaTheme="minorEastAsia" w:cstheme="minorEastAsia"/>
          <w:b/>
          <w:color w:val="auto"/>
        </w:rPr>
        <w:t>微生物与生化药学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01药用植物内生菌的新型次生代谢产物发现及活性评价</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02</w:t>
      </w:r>
      <w:r>
        <w:rPr>
          <w:rFonts w:asciiTheme="minorEastAsia" w:hAnsiTheme="minorEastAsia" w:eastAsiaTheme="minorEastAsia" w:cstheme="minorEastAsia"/>
          <w:color w:val="auto"/>
        </w:rPr>
        <w:t>特</w:t>
      </w:r>
      <w:r>
        <w:rPr>
          <w:rFonts w:asciiTheme="minorEastAsia" w:hAnsiTheme="minorEastAsia" w:eastAsiaTheme="minorEastAsia" w:cstheme="minorEastAsia"/>
          <w:color w:val="auto"/>
        </w:rPr>
        <w:t>境微生物的新型次生代谢产物发现及活性评价</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03中药与肠道菌群作用研究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04药用</w:t>
      </w:r>
      <w:r>
        <w:rPr>
          <w:rFonts w:asciiTheme="minorEastAsia" w:hAnsiTheme="minorEastAsia" w:eastAsiaTheme="minorEastAsia" w:cstheme="minorEastAsia"/>
          <w:color w:val="auto"/>
        </w:rPr>
        <w:t>菌</w:t>
      </w:r>
      <w:r>
        <w:rPr>
          <w:rFonts w:asciiTheme="minorEastAsia" w:hAnsiTheme="minorEastAsia" w:eastAsiaTheme="minorEastAsia" w:cstheme="minorEastAsia"/>
          <w:color w:val="auto"/>
        </w:rPr>
        <w:t>发酵工艺优化及产业化研究</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05多肽及蛋白质药物研发</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06抗体药物研究与开发</w:t>
      </w:r>
    </w:p>
    <w:p>
      <w:pPr>
        <w:pStyle w:val="8"/>
        <w:widowControl/>
        <w:snapToGrid w:val="0"/>
        <w:spacing w:line="440" w:lineRule="exact"/>
        <w:ind w:firstLine="482"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b/>
          <w:color w:val="auto"/>
        </w:rPr>
        <w:t>5</w:t>
      </w:r>
      <w:r>
        <w:rPr>
          <w:rFonts w:hint="default" w:asciiTheme="minorEastAsia" w:hAnsiTheme="minorEastAsia" w:eastAsiaTheme="minorEastAsia" w:cstheme="minorEastAsia"/>
          <w:b/>
          <w:color w:val="auto"/>
        </w:rPr>
        <w:t>.</w:t>
      </w:r>
      <w:r>
        <w:rPr>
          <w:rFonts w:asciiTheme="minorEastAsia" w:hAnsiTheme="minorEastAsia" w:eastAsiaTheme="minorEastAsia" w:cstheme="minorEastAsia"/>
          <w:b/>
          <w:color w:val="auto"/>
        </w:rPr>
        <w:t>药理学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01神经精神药理学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02消化与肿瘤药理学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03心脑血管药理学</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04内分泌免疫药理学</w:t>
      </w:r>
    </w:p>
    <w:p>
      <w:pPr>
        <w:pStyle w:val="8"/>
        <w:widowControl/>
        <w:snapToGrid w:val="0"/>
        <w:spacing w:after="156" w:afterLines="50"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三、学制和学习年限</w:t>
      </w:r>
    </w:p>
    <w:p>
      <w:pPr>
        <w:pStyle w:val="8"/>
        <w:widowControl/>
        <w:snapToGrid w:val="0"/>
        <w:spacing w:line="360" w:lineRule="auto"/>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全日制硕士研究生的学制为3年。研究生的课程集中学习时间为半年；半年后进入培养单位、学科（教研室）、科室在导师指导下，按培养方案的要求，进行后续的培养工作。研究生可以分阶段完成学业，除另有规定外，最长学习时间（含休学）为6年。毕业时未达到学位授予条件者，自取</w:t>
      </w:r>
      <w:r>
        <w:rPr>
          <w:rFonts w:asciiTheme="minorEastAsia" w:hAnsiTheme="minorEastAsia" w:eastAsiaTheme="minorEastAsia" w:cstheme="minorEastAsia"/>
          <w:color w:val="auto"/>
        </w:rPr>
        <w:t>得毕业</w:t>
      </w:r>
      <w:r>
        <w:rPr>
          <w:rFonts w:asciiTheme="minorEastAsia" w:hAnsiTheme="minorEastAsia" w:eastAsiaTheme="minorEastAsia" w:cstheme="minorEastAsia"/>
          <w:color w:val="auto"/>
        </w:rPr>
        <w:t xml:space="preserve">证之日起，2年内可向学校申请学位。 </w:t>
      </w:r>
    </w:p>
    <w:p>
      <w:pPr>
        <w:pStyle w:val="8"/>
        <w:widowControl/>
        <w:snapToGrid w:val="0"/>
        <w:spacing w:line="440" w:lineRule="exact"/>
        <w:ind w:firstLine="419" w:firstLineChars="174"/>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四、培养方式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集中学习的课程，由研究生院统一组织教学。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政治理论课学习与经常性政治教育相结合。研究生应认真学好政治理论课， 积极参加政治学习与形势任务教育，参加公益劳动。政治理论课程由研究生院组织教学；研究生德育教育第一责任人为导师，同时由培养单位、学科、研究室、教研室、实验室共同负责，将业务教育与思想品德教育紧密结合，采用多种教育形式，以提高研究生的思想品德素质。</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学习方式采用在导师和指导小组成员的指导下，进行课堂教学、自学、学术讨论等多种形式，使学生进一步拓宽知识范围，掌握学科发展的前沿动态。在科学研究方面，结合导师的研究课题，运用先进的、高水平的科研工作方法和手段，重点培养独立从事本学科领域创造性研究工作的能力。课程结束后应通过考试评定成绩。</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4</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硕士生的培养实行导师负责和集体培养相结合的办法。成立硕士生指导小组，导师任组长，另有3～5名本专业和/或相关学科专业的专家。主要做好以下几方面工作：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w:t>
      </w:r>
      <w:r>
        <w:rPr>
          <w:rFonts w:asciiTheme="minorEastAsia" w:hAnsiTheme="minorEastAsia" w:eastAsiaTheme="minorEastAsia" w:cstheme="minorEastAsia"/>
          <w:color w:val="auto"/>
        </w:rPr>
        <w:t xml:space="preserve">结合研究方向，指导研究生制定个性化的培养计划，并督促检查其实施；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w:t>
      </w:r>
      <w:r>
        <w:rPr>
          <w:rFonts w:asciiTheme="minorEastAsia" w:hAnsiTheme="minorEastAsia" w:eastAsiaTheme="minorEastAsia" w:cstheme="minorEastAsia"/>
          <w:color w:val="auto"/>
        </w:rPr>
        <w:t xml:space="preserve">对硕士研究生进行政治思想、学风、品德等方面的教育；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w:t>
      </w:r>
      <w:r>
        <w:rPr>
          <w:rFonts w:asciiTheme="minorEastAsia" w:hAnsiTheme="minorEastAsia" w:eastAsiaTheme="minorEastAsia" w:cstheme="minorEastAsia"/>
          <w:color w:val="auto"/>
        </w:rPr>
        <w:t>全面指导和检查硕士研究生的课程学习、科学研究和学位论文工作。</w:t>
      </w:r>
    </w:p>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五、课程学习</w:t>
      </w:r>
    </w:p>
    <w:p>
      <w:pPr>
        <w:widowControl/>
        <w:adjustRightInd w:val="0"/>
        <w:snapToGrid w:val="0"/>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kern w:val="0"/>
          <w:sz w:val="24"/>
          <w:lang w:bidi="ar"/>
        </w:rPr>
        <w:t>研究生的课程分为公共课、专业基础课、专业课、选修课四大类别。其中公共课、专业基础课、专业课为学位课程,选修课为非学位课程。</w:t>
      </w:r>
    </w:p>
    <w:p>
      <w:pPr>
        <w:widowControl/>
        <w:adjustRightInd w:val="0"/>
        <w:snapToGrid w:val="0"/>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kern w:val="0"/>
          <w:sz w:val="24"/>
          <w:lang w:bidi="ar"/>
        </w:rPr>
        <w:t>课程学习实行学分制。硕士研究生在学位论文答辩前理论课程学习总学分不低于</w:t>
      </w:r>
      <w:r>
        <w:rPr>
          <w:rFonts w:asciiTheme="minorEastAsia" w:hAnsiTheme="minorEastAsia" w:cstheme="minorEastAsia"/>
          <w:kern w:val="0"/>
          <w:sz w:val="24"/>
          <w:lang w:bidi="ar"/>
        </w:rPr>
        <w:t>27</w:t>
      </w:r>
      <w:r>
        <w:rPr>
          <w:rFonts w:hint="eastAsia" w:asciiTheme="minorEastAsia" w:hAnsiTheme="minorEastAsia" w:cstheme="minorEastAsia"/>
          <w:kern w:val="0"/>
          <w:sz w:val="24"/>
          <w:lang w:bidi="ar"/>
        </w:rPr>
        <w:t>学分，其中学位课程不少于</w:t>
      </w:r>
      <w:r>
        <w:rPr>
          <w:rFonts w:asciiTheme="minorEastAsia" w:hAnsiTheme="minorEastAsia" w:cstheme="minorEastAsia"/>
          <w:kern w:val="0"/>
          <w:sz w:val="24"/>
          <w:lang w:bidi="ar"/>
        </w:rPr>
        <w:t>23</w:t>
      </w:r>
      <w:r>
        <w:rPr>
          <w:rFonts w:hint="eastAsia" w:asciiTheme="minorEastAsia" w:hAnsiTheme="minorEastAsia" w:cstheme="minorEastAsia"/>
          <w:kern w:val="0"/>
          <w:sz w:val="24"/>
          <w:lang w:bidi="ar"/>
        </w:rPr>
        <w:t>学分。跨专业录取的研究生，必须补修若干门本专业本科生的主干课程，由指导教师提出，列入研究生培养计划，考核成绩报研究生院，但不计入规定的总学分。 鼓励报考本校研究生的本科生、参加大学生创业竞赛等活动的本科生选修研究生课程，所修学分计入研究生课程成绩。</w:t>
      </w:r>
    </w:p>
    <w:p>
      <w:pPr>
        <w:widowControl/>
        <w:adjustRightInd w:val="0"/>
        <w:snapToGrid w:val="0"/>
        <w:spacing w:after="156" w:afterLines="50" w:line="440" w:lineRule="exact"/>
        <w:jc w:val="center"/>
        <w:rPr>
          <w:rFonts w:asciiTheme="minorEastAsia" w:hAnsiTheme="minorEastAsia" w:cstheme="minorEastAsia"/>
          <w:b/>
          <w:kern w:val="0"/>
          <w:szCs w:val="21"/>
          <w:lang w:bidi="ar"/>
        </w:rPr>
      </w:pPr>
      <w:r>
        <w:rPr>
          <w:rFonts w:hint="eastAsia" w:asciiTheme="minorEastAsia" w:hAnsiTheme="minorEastAsia" w:cstheme="minorEastAsia"/>
          <w:b/>
          <w:kern w:val="0"/>
          <w:szCs w:val="21"/>
          <w:lang w:bidi="ar"/>
        </w:rPr>
        <w:t>药学学术型硕士研究生课程设置</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19"/>
        <w:gridCol w:w="850"/>
        <w:gridCol w:w="709"/>
        <w:gridCol w:w="709"/>
        <w:gridCol w:w="2006"/>
      </w:tblGrid>
      <w:tr>
        <w:tblPrEx>
          <w:tblLayout w:type="fixed"/>
          <w:tblCellMar>
            <w:top w:w="0" w:type="dxa"/>
            <w:left w:w="108" w:type="dxa"/>
            <w:bottom w:w="0" w:type="dxa"/>
            <w:right w:w="108" w:type="dxa"/>
          </w:tblCellMar>
        </w:tblPrEx>
        <w:trPr>
          <w:trHeight w:val="71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课程编号</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课程名称</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学时</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学分</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开课学期</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备注</w:t>
            </w:r>
          </w:p>
        </w:tc>
      </w:tr>
      <w:tr>
        <w:tblPrEx>
          <w:tblLayout w:type="fixed"/>
          <w:tblCellMar>
            <w:top w:w="0" w:type="dxa"/>
            <w:left w:w="108" w:type="dxa"/>
            <w:bottom w:w="0" w:type="dxa"/>
            <w:right w:w="108" w:type="dxa"/>
          </w:tblCellMar>
        </w:tblPrEx>
        <w:trPr>
          <w:trHeight w:val="540"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b/>
                <w:szCs w:val="21"/>
              </w:rPr>
            </w:pPr>
            <w:r>
              <w:rPr>
                <w:rFonts w:hint="eastAsia" w:asciiTheme="minorEastAsia" w:hAnsiTheme="minorEastAsia" w:cstheme="minorEastAsia"/>
                <w:b/>
                <w:szCs w:val="21"/>
                <w:lang w:bidi="ar"/>
              </w:rPr>
              <w:t>公共必修课（</w:t>
            </w:r>
            <w:r>
              <w:rPr>
                <w:rFonts w:asciiTheme="minorEastAsia" w:hAnsiTheme="minorEastAsia" w:cstheme="minorEastAsia"/>
                <w:b/>
                <w:szCs w:val="21"/>
                <w:lang w:bidi="ar"/>
              </w:rPr>
              <w:t>10</w:t>
            </w:r>
            <w:r>
              <w:rPr>
                <w:rFonts w:hint="eastAsia" w:asciiTheme="minorEastAsia" w:hAnsiTheme="minorEastAsia" w:cstheme="minorEastAsia"/>
                <w:b/>
                <w:szCs w:val="21"/>
                <w:lang w:bidi="ar"/>
              </w:rPr>
              <w:t>学分）</w:t>
            </w:r>
          </w:p>
        </w:tc>
      </w:tr>
      <w:tr>
        <w:tblPrEx>
          <w:tblLayout w:type="fixed"/>
          <w:tblCellMar>
            <w:top w:w="0" w:type="dxa"/>
            <w:left w:w="108" w:type="dxa"/>
            <w:bottom w:w="0" w:type="dxa"/>
            <w:right w:w="108" w:type="dxa"/>
          </w:tblCellMar>
        </w:tblPrEx>
        <w:trPr>
          <w:trHeight w:val="407"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S00900</w:t>
            </w:r>
            <w:r>
              <w:rPr>
                <w:rFonts w:asciiTheme="minorEastAsia" w:hAnsiTheme="minorEastAsia" w:cstheme="minorEastAsia"/>
                <w:szCs w:val="21"/>
                <w:lang w:bidi="ar"/>
              </w:rPr>
              <w:t>2</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自然辩证法</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36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427"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S009050</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中国特色社会主义理论与实践</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36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41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S007002/ S007004</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公共英语</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54</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3</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41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S004105</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科学伦理与实验安全</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18</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asciiTheme="minorEastAsia" w:hAnsiTheme="minorEastAsia" w:cstheme="minorEastAsia"/>
                <w:szCs w:val="21"/>
                <w:lang w:bidi="ar"/>
              </w:rPr>
              <w:t>SPOC</w:t>
            </w:r>
            <w:r>
              <w:rPr>
                <w:rFonts w:hint="eastAsia" w:asciiTheme="minorEastAsia" w:hAnsiTheme="minorEastAsia" w:cstheme="minorEastAsia"/>
                <w:szCs w:val="21"/>
                <w:lang w:bidi="ar"/>
              </w:rPr>
              <w:t>课程</w:t>
            </w:r>
          </w:p>
        </w:tc>
      </w:tr>
      <w:tr>
        <w:tblPrEx>
          <w:tblLayout w:type="fixed"/>
          <w:tblCellMar>
            <w:top w:w="0" w:type="dxa"/>
            <w:left w:w="108" w:type="dxa"/>
            <w:bottom w:w="0" w:type="dxa"/>
            <w:right w:w="108" w:type="dxa"/>
          </w:tblCellMar>
        </w:tblPrEx>
        <w:trPr>
          <w:trHeight w:val="41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asciiTheme="minorEastAsia" w:hAnsiTheme="minorEastAsia" w:cstheme="minorEastAsia"/>
                <w:szCs w:val="21"/>
                <w:lang w:bidi="ar"/>
              </w:rPr>
              <w:t>S004112</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药学</w:t>
            </w:r>
            <w:r>
              <w:rPr>
                <w:rFonts w:asciiTheme="minorEastAsia" w:hAnsiTheme="minorEastAsia" w:cstheme="minorEastAsia"/>
                <w:szCs w:val="21"/>
                <w:lang w:bidi="ar"/>
              </w:rPr>
              <w:t>前沿讲座</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p>
        </w:tc>
      </w:tr>
      <w:tr>
        <w:tblPrEx>
          <w:tblLayout w:type="fixed"/>
          <w:tblCellMar>
            <w:top w:w="0" w:type="dxa"/>
            <w:left w:w="108" w:type="dxa"/>
            <w:bottom w:w="0" w:type="dxa"/>
            <w:right w:w="108" w:type="dxa"/>
          </w:tblCellMar>
        </w:tblPrEx>
        <w:trPr>
          <w:trHeight w:val="29"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heme="minorEastAsia" w:hAnsiTheme="minorEastAsia" w:cstheme="minorEastAsia"/>
                <w:sz w:val="24"/>
              </w:rPr>
            </w:pPr>
            <w:r>
              <w:rPr>
                <w:rFonts w:hint="eastAsia" w:asciiTheme="minorEastAsia" w:hAnsiTheme="minorEastAsia" w:cstheme="minorEastAsia"/>
                <w:b/>
                <w:szCs w:val="21"/>
                <w:lang w:bidi="ar"/>
              </w:rPr>
              <w:t>专业基础课（</w:t>
            </w:r>
            <w:r>
              <w:rPr>
                <w:rFonts w:asciiTheme="minorEastAsia" w:hAnsiTheme="minorEastAsia" w:cstheme="minorEastAsia"/>
                <w:b/>
                <w:szCs w:val="21"/>
                <w:lang w:bidi="ar"/>
              </w:rPr>
              <w:t>9</w:t>
            </w:r>
            <w:r>
              <w:rPr>
                <w:rFonts w:hint="eastAsia" w:asciiTheme="minorEastAsia" w:hAnsiTheme="minorEastAsia" w:cstheme="minorEastAsia"/>
                <w:b/>
                <w:szCs w:val="21"/>
                <w:lang w:bidi="ar"/>
              </w:rPr>
              <w:t>学分及</w:t>
            </w:r>
            <w:r>
              <w:rPr>
                <w:rFonts w:asciiTheme="minorEastAsia" w:hAnsiTheme="minorEastAsia" w:cstheme="minorEastAsia"/>
                <w:b/>
                <w:szCs w:val="21"/>
                <w:lang w:bidi="ar"/>
              </w:rPr>
              <w:t>以上</w:t>
            </w:r>
            <w:r>
              <w:rPr>
                <w:rFonts w:hint="eastAsia" w:asciiTheme="minorEastAsia" w:hAnsiTheme="minorEastAsia" w:cstheme="minorEastAsia"/>
                <w:b/>
                <w:szCs w:val="21"/>
                <w:lang w:bidi="ar"/>
              </w:rPr>
              <w:t>）</w:t>
            </w: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S016003</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生物统计学</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36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w:t>
            </w:r>
            <w:r>
              <w:rPr>
                <w:rFonts w:asciiTheme="minorEastAsia" w:hAnsiTheme="minorEastAsia" w:cstheme="minorEastAsia"/>
                <w:szCs w:val="21"/>
                <w:lang w:bidi="ar"/>
              </w:rPr>
              <w:t>016002</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生物技术与方法</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S004099</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现代仪器分析技术</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54</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3</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S004106</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药学研究导论</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54</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3</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S004108</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高等有机化学</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54</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3</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w:t>
            </w:r>
            <w:r>
              <w:rPr>
                <w:rFonts w:asciiTheme="minorEastAsia" w:hAnsiTheme="minorEastAsia" w:cstheme="minorEastAsia"/>
                <w:szCs w:val="21"/>
                <w:lang w:bidi="ar"/>
              </w:rPr>
              <w:t>117</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论文写作指导（药学类）</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r>
              <w:rPr>
                <w:rFonts w:asciiTheme="minorEastAsia" w:hAnsiTheme="minorEastAsia" w:cstheme="minorEastAsia"/>
                <w:szCs w:val="21"/>
                <w:lang w:bidi="ar"/>
              </w:rPr>
              <w:t>8</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szCs w:val="21"/>
              </w:rPr>
              <w:t>必修</w:t>
            </w:r>
          </w:p>
        </w:tc>
      </w:tr>
      <w:tr>
        <w:tblPrEx>
          <w:tblLayout w:type="fixed"/>
          <w:tblCellMar>
            <w:top w:w="0" w:type="dxa"/>
            <w:left w:w="108" w:type="dxa"/>
            <w:bottom w:w="0" w:type="dxa"/>
            <w:right w:w="108" w:type="dxa"/>
          </w:tblCellMar>
        </w:tblPrEx>
        <w:trPr>
          <w:trHeight w:val="349"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r>
              <w:rPr>
                <w:rFonts w:hint="eastAsia" w:asciiTheme="minorEastAsia" w:hAnsiTheme="minorEastAsia" w:cstheme="minorEastAsia"/>
                <w:b/>
                <w:szCs w:val="21"/>
                <w:lang w:bidi="ar"/>
              </w:rPr>
              <w:t>专业课（</w:t>
            </w:r>
            <w:r>
              <w:rPr>
                <w:rFonts w:asciiTheme="minorEastAsia" w:hAnsiTheme="minorEastAsia" w:cstheme="minorEastAsia"/>
                <w:b/>
                <w:szCs w:val="21"/>
                <w:lang w:bidi="ar"/>
              </w:rPr>
              <w:t>4</w:t>
            </w:r>
            <w:r>
              <w:rPr>
                <w:rFonts w:hint="eastAsia" w:asciiTheme="minorEastAsia" w:hAnsiTheme="minorEastAsia" w:cstheme="minorEastAsia"/>
                <w:b/>
                <w:szCs w:val="21"/>
                <w:lang w:bidi="ar"/>
              </w:rPr>
              <w:t>学分及以上）</w:t>
            </w: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 xml:space="preserve">S004109 </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药物合成化学</w:t>
            </w:r>
            <w:r>
              <w:rPr>
                <w:rFonts w:hint="eastAsia" w:asciiTheme="minorEastAsia" w:hAnsiTheme="minorEastAsia" w:cstheme="minorEastAsia"/>
                <w:color w:val="FF0000"/>
                <w:szCs w:val="21"/>
                <w:lang w:bidi="ar"/>
              </w:rPr>
              <w:t xml:space="preserve"> </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cstheme="minorEastAsia"/>
                <w:szCs w:val="21"/>
                <w:lang w:eastAsia="zh-CN" w:bidi="ar"/>
              </w:rPr>
            </w:pPr>
            <w:r>
              <w:rPr>
                <w:rFonts w:hint="eastAsia" w:asciiTheme="minorEastAsia" w:hAnsiTheme="minorEastAsia" w:cstheme="minorEastAsia"/>
                <w:szCs w:val="21"/>
                <w:lang w:eastAsia="zh-CN"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S004002</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波谱分析</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S004087</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药物分析选论</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cstheme="minorEastAsia"/>
                <w:szCs w:val="21"/>
                <w:lang w:eastAsia="zh-CN" w:bidi="ar"/>
              </w:rPr>
            </w:pPr>
            <w:r>
              <w:rPr>
                <w:rFonts w:hint="eastAsia" w:asciiTheme="minorEastAsia" w:hAnsiTheme="minorEastAsia" w:cstheme="minorEastAsia"/>
                <w:szCs w:val="21"/>
                <w:lang w:eastAsia="zh-CN"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S004024</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中药药剂学选论</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1</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S004103</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中药与天然药物化学选论</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349"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S004016</w:t>
            </w:r>
          </w:p>
        </w:tc>
        <w:tc>
          <w:tcPr>
            <w:tcW w:w="311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中药药理学选论</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3</w:t>
            </w:r>
            <w:r>
              <w:rPr>
                <w:rFonts w:asciiTheme="minorEastAsia" w:hAnsiTheme="minorEastAsia" w:cstheme="minorEastAsia"/>
                <w:szCs w:val="21"/>
                <w:lang w:bidi="ar"/>
              </w:rPr>
              <w:t>6</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lang w:bidi="ar"/>
              </w:rPr>
            </w:pPr>
            <w:r>
              <w:rPr>
                <w:rFonts w:hint="eastAsia" w:asciiTheme="minorEastAsia" w:hAnsiTheme="minorEastAsia" w:cstheme="minorEastAsia"/>
                <w:szCs w:val="21"/>
                <w:lang w:bidi="ar"/>
              </w:rPr>
              <w:t>2</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cstheme="minorEastAsia"/>
                <w:szCs w:val="21"/>
                <w:lang w:eastAsia="zh-CN" w:bidi="ar"/>
              </w:rPr>
            </w:pPr>
            <w:r>
              <w:rPr>
                <w:rFonts w:hint="eastAsia" w:asciiTheme="minorEastAsia" w:hAnsiTheme="minorEastAsia" w:cstheme="minorEastAsia"/>
                <w:szCs w:val="21"/>
                <w:lang w:eastAsia="zh-CN" w:bidi="ar"/>
              </w:rPr>
              <w:t>1</w:t>
            </w:r>
            <w:bookmarkStart w:id="0" w:name="_GoBack"/>
            <w:bookmarkEnd w:id="0"/>
          </w:p>
        </w:tc>
        <w:tc>
          <w:tcPr>
            <w:tcW w:w="200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29"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heme="minorEastAsia" w:hAnsiTheme="minorEastAsia" w:cstheme="minorEastAsia"/>
                <w:szCs w:val="21"/>
                <w:lang w:bidi="ar"/>
              </w:rPr>
            </w:pPr>
            <w:r>
              <w:rPr>
                <w:rFonts w:hint="eastAsia" w:asciiTheme="minorEastAsia" w:hAnsiTheme="minorEastAsia" w:cstheme="minorEastAsia"/>
                <w:b/>
                <w:szCs w:val="21"/>
                <w:lang w:bidi="ar"/>
              </w:rPr>
              <w:t>选修课（</w:t>
            </w:r>
            <w:r>
              <w:rPr>
                <w:rFonts w:asciiTheme="minorEastAsia" w:hAnsiTheme="minorEastAsia" w:cstheme="minorEastAsia"/>
                <w:b/>
                <w:szCs w:val="21"/>
                <w:lang w:bidi="ar"/>
              </w:rPr>
              <w:t>4</w:t>
            </w:r>
            <w:r>
              <w:rPr>
                <w:rFonts w:hint="eastAsia" w:asciiTheme="minorEastAsia" w:hAnsiTheme="minorEastAsia" w:cstheme="minorEastAsia"/>
                <w:b/>
                <w:szCs w:val="21"/>
                <w:lang w:bidi="ar"/>
              </w:rPr>
              <w:t>学分及以上）</w:t>
            </w:r>
          </w:p>
        </w:tc>
      </w:tr>
      <w:tr>
        <w:tblPrEx>
          <w:tblLayout w:type="fixed"/>
          <w:tblCellMar>
            <w:top w:w="0" w:type="dxa"/>
            <w:left w:w="108" w:type="dxa"/>
            <w:bottom w:w="0" w:type="dxa"/>
            <w:right w:w="108" w:type="dxa"/>
          </w:tblCellMar>
        </w:tblPrEx>
        <w:trPr>
          <w:trHeight w:val="29" w:hRule="atLeast"/>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heme="minorEastAsia" w:hAnsiTheme="minorEastAsia" w:cstheme="minorEastAsia"/>
                <w:b/>
                <w:szCs w:val="21"/>
              </w:rPr>
            </w:pPr>
            <w:r>
              <w:rPr>
                <w:rFonts w:hint="eastAsia" w:asciiTheme="minorEastAsia" w:hAnsiTheme="minorEastAsia" w:cstheme="minorEastAsia"/>
                <w:szCs w:val="21"/>
                <w:lang w:bidi="ar"/>
              </w:rPr>
              <w:t>基础理论类、学科前沿类、技术方法类、语言文化类、</w:t>
            </w:r>
            <w:r>
              <w:rPr>
                <w:rFonts w:asciiTheme="minorEastAsia" w:hAnsiTheme="minorEastAsia" w:cstheme="minorEastAsia"/>
                <w:szCs w:val="21"/>
                <w:lang w:bidi="ar"/>
              </w:rPr>
              <w:t>艺术鉴赏类</w:t>
            </w:r>
          </w:p>
        </w:tc>
      </w:tr>
    </w:tbl>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六、文献阅读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硕士研究生应在指导教师的指导下进行文献阅读，并完成研究领域相关的文献阅读报告2篇，其正文篇幅不少于3000字，由导师审核并评定成绩。</w:t>
      </w:r>
    </w:p>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七、学术活动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 xml:space="preserve">硕士研究生应在指导教师的指导下参与国内、国际学术会议或学术交流，学术活动包括学科范围（含学科）组织的各类学术活动和本人的学术报告或讲座。在申请学位论文答辩前必须参加10次以上的学术活动。参加学术活动均需填写《南京中医药大学硕士研究生参加学术活动登记本》，并由主办活动的单位签署意见，答辩前由导师审核签字，学术活动登记本存入研究生个人学习档案。 </w:t>
      </w:r>
    </w:p>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lang w:bidi="ar"/>
        </w:rPr>
        <w:t>八、教学实践</w:t>
      </w:r>
    </w:p>
    <w:p>
      <w:pPr>
        <w:pStyle w:val="8"/>
        <w:widowControl/>
        <w:snapToGrid w:val="0"/>
        <w:spacing w:line="440" w:lineRule="exact"/>
        <w:ind w:firstLine="465"/>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协助指导教师进行理论教学、实验教学不少于8学时或指导至少1名本科生实习、见习、</w:t>
      </w:r>
      <w:r>
        <w:rPr>
          <w:rFonts w:asciiTheme="minorEastAsia" w:hAnsiTheme="minorEastAsia" w:eastAsiaTheme="minorEastAsia" w:cstheme="minorEastAsia"/>
          <w:color w:val="auto"/>
        </w:rPr>
        <w:t>科创赛</w:t>
      </w:r>
      <w:r>
        <w:rPr>
          <w:rFonts w:asciiTheme="minorEastAsia" w:hAnsiTheme="minorEastAsia" w:eastAsiaTheme="minorEastAsia" w:cstheme="minorEastAsia"/>
          <w:color w:val="auto"/>
        </w:rPr>
        <w:t>等完成一个完整的实验专题单元。完成后填写《南京中医药大学研究</w:t>
      </w:r>
      <w:r>
        <w:rPr>
          <w:rFonts w:asciiTheme="minorEastAsia" w:hAnsiTheme="minorEastAsia" w:eastAsiaTheme="minorEastAsia" w:cstheme="minorEastAsia"/>
          <w:color w:val="auto"/>
        </w:rPr>
        <w:t>生教学实践考核表》，由指导教师考核评定成绩。具有教师资格证且在教学岗位上从事教学工作的硕士研究生可填写免修申请。</w:t>
      </w:r>
    </w:p>
    <w:p>
      <w:pPr>
        <w:pStyle w:val="8"/>
        <w:widowControl/>
        <w:snapToGrid w:val="0"/>
        <w:spacing w:line="440" w:lineRule="exact"/>
        <w:ind w:firstLine="465"/>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九、科研实践与学位论文工作</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选题及开题</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硕士研究生在导师指导下广泛收集资料，阅读文献，参加科研，于第二学期写出研究课题的文献综述，确定研究课题，拟定课题的研究计划，并在第三学期</w:t>
      </w:r>
      <w:r>
        <w:rPr>
          <w:rFonts w:asciiTheme="minorEastAsia" w:hAnsiTheme="minorEastAsia" w:eastAsiaTheme="minorEastAsia" w:cstheme="minorEastAsia"/>
          <w:color w:val="auto"/>
        </w:rPr>
        <w:t>9月30日</w:t>
      </w:r>
      <w:r>
        <w:rPr>
          <w:rFonts w:hint="default" w:asciiTheme="minorEastAsia" w:hAnsiTheme="minorEastAsia" w:eastAsiaTheme="minorEastAsia" w:cstheme="minorEastAsia"/>
          <w:color w:val="auto"/>
        </w:rPr>
        <w:t>前，</w:t>
      </w:r>
      <w:r>
        <w:rPr>
          <w:rFonts w:asciiTheme="minorEastAsia" w:hAnsiTheme="minorEastAsia" w:eastAsiaTheme="minorEastAsia" w:cstheme="minorEastAsia"/>
          <w:color w:val="auto"/>
        </w:rPr>
        <w:t>面向学科组织的专家小组进行开题，同时就选题的科学依据、研究内容、实验方法、预期目标、完成课题的条件等广泛征求专家意见，根据专家意见对课题设计作进一步修改，实施课题研究。具体要求见《南京中医药大学研究生</w:t>
      </w:r>
      <w:r>
        <w:rPr>
          <w:rFonts w:asciiTheme="minorEastAsia" w:hAnsiTheme="minorEastAsia" w:eastAsiaTheme="minorEastAsia" w:cstheme="minorEastAsia"/>
          <w:color w:val="auto"/>
        </w:rPr>
        <w:t>学位</w:t>
      </w:r>
      <w:r>
        <w:rPr>
          <w:rFonts w:hint="default" w:asciiTheme="minorEastAsia" w:hAnsiTheme="minorEastAsia" w:eastAsiaTheme="minorEastAsia" w:cstheme="minorEastAsia"/>
          <w:color w:val="auto"/>
        </w:rPr>
        <w:t>论文</w:t>
      </w:r>
      <w:r>
        <w:rPr>
          <w:rFonts w:asciiTheme="minorEastAsia" w:hAnsiTheme="minorEastAsia" w:eastAsiaTheme="minorEastAsia" w:cstheme="minorEastAsia"/>
          <w:color w:val="auto"/>
        </w:rPr>
        <w:t>开题</w:t>
      </w:r>
      <w:r>
        <w:rPr>
          <w:rFonts w:asciiTheme="minorEastAsia" w:hAnsiTheme="minorEastAsia" w:eastAsiaTheme="minorEastAsia" w:cstheme="minorEastAsia"/>
          <w:color w:val="auto"/>
        </w:rPr>
        <w:t>管理规定</w:t>
      </w:r>
      <w:r>
        <w:rPr>
          <w:rFonts w:asciiTheme="minorEastAsia" w:hAnsiTheme="minorEastAsia" w:eastAsiaTheme="minorEastAsia" w:cstheme="minorEastAsia"/>
          <w:color w:val="auto"/>
        </w:rPr>
        <w:t>（修订）</w:t>
      </w:r>
      <w:r>
        <w:rPr>
          <w:rFonts w:asciiTheme="minorEastAsia" w:hAnsiTheme="minorEastAsia" w:eastAsiaTheme="minorEastAsia" w:cstheme="minorEastAsia"/>
          <w:color w:val="auto"/>
        </w:rPr>
        <w:t>》。</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论文实验记录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硕士研究生应按《南京中医药大学研究生学位论文实验记录本》认真填写课题研究的实验记录。学位论文研究内容属于学校科技项目管理的课题，可直接填写学校科研处提供的实验记录本。原始记录妥善保管，以备审核。</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中期考核</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为了确保硕士研究生的培养质量，建立攻读硕士学位资格淘汰制度。硕士研究生在入学的第四学期进行中期考核。中期汇报及考核未通过者，六个月后可申请再次考核，再次考核未能通过者，做延期一年毕业安排。</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中期考核由二级学位点组织，着重对硕士生政治思想状况、课程学习情况、教学实践、学位论文开题、实践能力等方面进行全面评价并提出考核意见。个别涉密保项目，由导师指导学生的汇报内容公开程度。</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中期考核评议专家组成：不少于三名（单数）具有导师资格的副高及以上职称专家；研究生的指导教师不作为专家组成员。</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中期考核内容：书面和口试。书面内容需在中期考核前10日提交。书面内容应包括研究方案、研究进展、进一步研究计划及预期目标等；口试内容为现场答辩。</w:t>
      </w:r>
    </w:p>
    <w:p>
      <w:pPr>
        <w:pStyle w:val="8"/>
        <w:widowControl/>
        <w:snapToGrid w:val="0"/>
        <w:spacing w:line="440" w:lineRule="exact"/>
        <w:ind w:firstLine="480" w:firstLineChars="200"/>
        <w:rPr>
          <w:rFonts w:hint="default" w:ascii="Times New Roman" w:hAnsi="Times New Roman"/>
        </w:rPr>
      </w:pPr>
      <w:r>
        <w:rPr>
          <w:rFonts w:cs="宋体"/>
        </w:rPr>
        <w:t>其他要求见《南京中医药大学研究生中期考核办法（修订）》。</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4</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学位论文的撰写</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学位论文要求文字精练，论点明确，论据充分，数据可靠，有独立的创见性，具有理论和实用价值。课题研究和撰写论文时间应不少于两年。学位论文撰写和毕业具体要求见《南京中医药大学学位论文基本要求及格式规范》。</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5</w:t>
      </w:r>
      <w:r>
        <w:rPr>
          <w:rFonts w:hint="default" w:asciiTheme="minorEastAsia" w:hAnsiTheme="minorEastAsia" w:eastAsiaTheme="minorEastAsia" w:cstheme="minorEastAsia"/>
          <w:color w:val="auto"/>
        </w:rPr>
        <w:t>.</w:t>
      </w:r>
      <w:r>
        <w:rPr>
          <w:rFonts w:asciiTheme="minorEastAsia" w:hAnsiTheme="minorEastAsia" w:eastAsiaTheme="minorEastAsia" w:cstheme="minorEastAsia"/>
          <w:color w:val="auto"/>
        </w:rPr>
        <w:t xml:space="preserve">学位论文预审核和答辩 </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学位论文完成后，经导师审核同意，提交学院预审核，提交日期为论文外送</w:t>
      </w:r>
      <w:r>
        <w:rPr>
          <w:rFonts w:asciiTheme="minorEastAsia" w:hAnsiTheme="minorEastAsia" w:eastAsiaTheme="minorEastAsia" w:cstheme="minorEastAsia"/>
          <w:color w:val="auto"/>
        </w:rPr>
        <w:t>盲</w:t>
      </w:r>
      <w:r>
        <w:rPr>
          <w:rFonts w:asciiTheme="minorEastAsia" w:hAnsiTheme="minorEastAsia" w:eastAsiaTheme="minorEastAsia" w:cstheme="minorEastAsia"/>
          <w:color w:val="auto"/>
        </w:rPr>
        <w:t>审前5个工作日。预审核时论文内容不完整、具有较大缺失者，不予送审并做延期毕业安排。预审</w:t>
      </w:r>
      <w:r>
        <w:rPr>
          <w:rFonts w:asciiTheme="minorEastAsia" w:hAnsiTheme="minorEastAsia" w:eastAsiaTheme="minorEastAsia" w:cstheme="minorEastAsia"/>
          <w:color w:val="auto"/>
        </w:rPr>
        <w:t>核通过</w:t>
      </w:r>
      <w:r>
        <w:rPr>
          <w:rFonts w:asciiTheme="minorEastAsia" w:hAnsiTheme="minorEastAsia" w:eastAsiaTheme="minorEastAsia" w:cstheme="minorEastAsia"/>
          <w:color w:val="auto"/>
        </w:rPr>
        <w:t>后，方可提交外送盲审。</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学位论文完成后，经导师和指导小组审核同意，方可由导师推荐申请实施学位论文答辩。论文答辩于</w:t>
      </w:r>
      <w:r>
        <w:rPr>
          <w:rFonts w:asciiTheme="minorEastAsia" w:hAnsiTheme="minorEastAsia" w:eastAsiaTheme="minorEastAsia" w:cstheme="minorEastAsia"/>
          <w:color w:val="auto"/>
        </w:rPr>
        <w:t>第六学</w:t>
      </w:r>
      <w:r>
        <w:rPr>
          <w:rFonts w:asciiTheme="minorEastAsia" w:hAnsiTheme="minorEastAsia" w:eastAsiaTheme="minorEastAsia" w:cstheme="minorEastAsia"/>
          <w:color w:val="auto"/>
        </w:rPr>
        <w:t xml:space="preserve">期末在研究生院统一部署下进行。具体要求参见《南京中医药大学学位论文答辩的相关规定》。 </w:t>
      </w:r>
    </w:p>
    <w:p>
      <w:pPr>
        <w:pStyle w:val="8"/>
        <w:widowControl/>
        <w:snapToGrid w:val="0"/>
        <w:spacing w:line="440" w:lineRule="exact"/>
        <w:ind w:firstLine="482" w:firstLineChars="200"/>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十、毕业与学位授予</w:t>
      </w:r>
    </w:p>
    <w:p>
      <w:pPr>
        <w:adjustRightInd w:val="0"/>
        <w:snapToGrid w:val="0"/>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w:t>
      </w:r>
      <w:r>
        <w:rPr>
          <w:rFonts w:asciiTheme="minorEastAsia" w:hAnsiTheme="minorEastAsia" w:cstheme="minorEastAsia"/>
          <w:sz w:val="24"/>
        </w:rPr>
        <w:t>.</w:t>
      </w:r>
      <w:r>
        <w:rPr>
          <w:rFonts w:hint="eastAsia" w:asciiTheme="minorEastAsia" w:hAnsiTheme="minorEastAsia" w:cstheme="minorEastAsia"/>
          <w:sz w:val="24"/>
        </w:rPr>
        <w:t>在规定的最长学习时间内，达到本培养方案各环节要求，通过学位论文答辩，即获得毕业资格，准予毕业。</w:t>
      </w:r>
    </w:p>
    <w:p>
      <w:pPr>
        <w:adjustRightInd w:val="0"/>
        <w:snapToGrid w:val="0"/>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w:t>
      </w:r>
      <w:r>
        <w:rPr>
          <w:rFonts w:asciiTheme="minorEastAsia" w:hAnsiTheme="minorEastAsia" w:cstheme="minorEastAsia"/>
          <w:sz w:val="24"/>
        </w:rPr>
        <w:t>.</w:t>
      </w:r>
      <w:r>
        <w:rPr>
          <w:rFonts w:hint="eastAsia" w:asciiTheme="minorEastAsia" w:hAnsiTheme="minorEastAsia" w:cstheme="minorEastAsia"/>
          <w:sz w:val="24"/>
        </w:rPr>
        <w:t>获得毕业资格，同时符合《南京中医药大学博士、硕士学位授予工作细则》中“学位授予条件”的相关规定，经学位评定分委员会和学位评定委员会审核，授予相应层次类型的学位。</w:t>
      </w:r>
    </w:p>
    <w:p>
      <w:pPr>
        <w:pStyle w:val="8"/>
        <w:widowControl/>
        <w:snapToGrid w:val="0"/>
        <w:spacing w:line="440" w:lineRule="exact"/>
        <w:ind w:firstLine="465"/>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 xml:space="preserve">十一、制定研究生培养计划的相关要求 </w:t>
      </w:r>
    </w:p>
    <w:p>
      <w:pPr>
        <w:pStyle w:val="8"/>
        <w:widowControl/>
        <w:snapToGrid w:val="0"/>
        <w:spacing w:line="440" w:lineRule="exact"/>
        <w:ind w:firstLine="480" w:firstLineChars="2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导师和指导小组应根据国家学位条例、学科专业培养方案并结合硕士生个人情况，认真制定硕士研究生的培养计划，详细填写培养计划表。导师必须在硕士研究生入学后</w:t>
      </w:r>
      <w:r>
        <w:rPr>
          <w:rFonts w:asciiTheme="minorEastAsia" w:hAnsiTheme="minorEastAsia" w:eastAsiaTheme="minorEastAsia" w:cstheme="minorEastAsia"/>
          <w:color w:val="auto"/>
        </w:rPr>
        <w:t>第一学</w:t>
      </w:r>
      <w:r>
        <w:rPr>
          <w:rFonts w:asciiTheme="minorEastAsia" w:hAnsiTheme="minorEastAsia" w:eastAsiaTheme="minorEastAsia" w:cstheme="minorEastAsia"/>
          <w:color w:val="auto"/>
        </w:rPr>
        <w:t>期末制定出培养计划，经学院主管领导审核同意后执行，并报研究生院培养办公室备案。培养计划表一式三份，一份送学院留存，导师和硕士研究生各保存一份。在执行过程中如因客观条件变化，可以修订培养计划，但需经学院主管领导同意，并报研究生院培养办公室备案。在硕士研究生学位论文答辩前，应审查培养计划执行情况，未执行培养计划者，不得进行学位论文答辩。</w:t>
      </w:r>
    </w:p>
    <w:p>
      <w:pPr>
        <w:pStyle w:val="8"/>
        <w:widowControl/>
        <w:snapToGrid w:val="0"/>
        <w:spacing w:line="440" w:lineRule="exact"/>
        <w:ind w:firstLine="482"/>
        <w:rPr>
          <w:rFonts w:hint="default" w:asciiTheme="minorEastAsia" w:hAnsiTheme="minorEastAsia" w:eastAsiaTheme="minorEastAsia" w:cstheme="minorEastAsia"/>
          <w:b/>
          <w:color w:val="auto"/>
          <w:lang w:bidi="ar"/>
        </w:rPr>
      </w:pPr>
      <w:r>
        <w:rPr>
          <w:rFonts w:asciiTheme="minorEastAsia" w:hAnsiTheme="minorEastAsia" w:eastAsiaTheme="minorEastAsia" w:cstheme="minorEastAsia"/>
          <w:b/>
          <w:color w:val="auto"/>
        </w:rPr>
        <w:t>十二、</w:t>
      </w:r>
      <w:r>
        <w:rPr>
          <w:rFonts w:asciiTheme="minorEastAsia" w:hAnsiTheme="minorEastAsia" w:eastAsiaTheme="minorEastAsia" w:cstheme="minorEastAsia"/>
          <w:b/>
          <w:color w:val="auto"/>
          <w:lang w:bidi="ar"/>
        </w:rPr>
        <w:t>知识产权管理</w:t>
      </w:r>
    </w:p>
    <w:p>
      <w:pPr>
        <w:pStyle w:val="8"/>
        <w:widowControl/>
        <w:snapToGrid w:val="0"/>
        <w:spacing w:line="440" w:lineRule="exact"/>
        <w:ind w:firstLine="480" w:firstLineChars="200"/>
        <w:jc w:val="both"/>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kern w:val="2"/>
          <w:lang w:bidi="ar"/>
        </w:rPr>
        <w:t>研究生毕业离校前，需将科研相关资料完整移交</w:t>
      </w:r>
      <w:r>
        <w:rPr>
          <w:rFonts w:asciiTheme="minorEastAsia" w:hAnsiTheme="minorEastAsia" w:eastAsiaTheme="minorEastAsia" w:cstheme="minorEastAsia"/>
          <w:color w:val="auto"/>
          <w:kern w:val="2"/>
          <w:lang w:bidi="ar"/>
        </w:rPr>
        <w:t>给指导</w:t>
      </w:r>
      <w:r>
        <w:rPr>
          <w:rFonts w:asciiTheme="minorEastAsia" w:hAnsiTheme="minorEastAsia" w:eastAsiaTheme="minorEastAsia" w:cstheme="minorEastAsia"/>
          <w:color w:val="auto"/>
          <w:kern w:val="2"/>
          <w:lang w:bidi="ar"/>
        </w:rPr>
        <w:t>老师，并签署承诺书。在新的岗位上，未经授权，毕业研究生不得使用相关资料、数据进行任何可能侵害知识产权的活动。</w:t>
      </w:r>
    </w:p>
    <w:p>
      <w:pPr>
        <w:widowControl/>
        <w:jc w:val="left"/>
        <w:rPr>
          <w:rFonts w:asciiTheme="minorEastAsia" w:hAnsiTheme="minorEastAsia" w:cstheme="minorEastAsia"/>
          <w:b/>
          <w:sz w:val="24"/>
        </w:rPr>
      </w:pPr>
      <w:r>
        <w:rPr>
          <w:rFonts w:asciiTheme="minorEastAsia" w:hAnsiTheme="minorEastAsia" w:cstheme="minorEastAsia"/>
          <w:b/>
        </w:rPr>
        <w:br w:type="page"/>
      </w:r>
    </w:p>
    <w:p>
      <w:pPr>
        <w:pStyle w:val="8"/>
        <w:widowControl/>
        <w:spacing w:after="100" w:afterAutospacing="1" w:line="440" w:lineRule="exact"/>
        <w:jc w:val="center"/>
        <w:rPr>
          <w:rFonts w:hint="default" w:asciiTheme="minorEastAsia" w:hAnsiTheme="minorEastAsia" w:eastAsiaTheme="minorEastAsia" w:cstheme="minorEastAsia"/>
          <w:b/>
          <w:color w:val="auto"/>
          <w:kern w:val="2"/>
        </w:rPr>
      </w:pPr>
      <w:r>
        <w:rPr>
          <w:rFonts w:asciiTheme="minorEastAsia" w:hAnsiTheme="minorEastAsia" w:eastAsiaTheme="minorEastAsia" w:cstheme="minorEastAsia"/>
          <w:b/>
          <w:color w:val="auto"/>
          <w:kern w:val="2"/>
        </w:rPr>
        <w:t>硕士研究生培养流程</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4715"/>
        <w:gridCol w:w="567"/>
        <w:gridCol w:w="709"/>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Borders>
              <w:top w:val="single" w:color="auto" w:sz="4" w:space="0"/>
              <w:left w:val="single" w:color="auto" w:sz="4" w:space="0"/>
              <w:bottom w:val="single" w:color="auto" w:sz="4" w:space="0"/>
              <w:right w:val="single" w:color="auto" w:sz="4" w:space="0"/>
            </w:tcBorders>
            <w:shd w:val="clear" w:color="auto" w:fill="auto"/>
          </w:tcPr>
          <w:p>
            <w:pPr>
              <w:spacing w:line="440" w:lineRule="exact"/>
              <w:jc w:val="center"/>
              <w:rPr>
                <w:rFonts w:asciiTheme="minorEastAsia" w:hAnsiTheme="minorEastAsia" w:cstheme="minorEastAsia"/>
                <w:b/>
                <w:kern w:val="0"/>
                <w:szCs w:val="21"/>
              </w:rPr>
            </w:pPr>
            <w:r>
              <w:rPr>
                <w:rFonts w:hint="eastAsia" w:asciiTheme="minorEastAsia" w:hAnsiTheme="minorEastAsia" w:cstheme="minorEastAsia"/>
                <w:b/>
                <w:kern w:val="0"/>
                <w:szCs w:val="21"/>
                <w:lang w:bidi="ar"/>
              </w:rPr>
              <w:t>学期</w:t>
            </w:r>
          </w:p>
        </w:tc>
        <w:tc>
          <w:tcPr>
            <w:tcW w:w="6637" w:type="dxa"/>
            <w:gridSpan w:val="4"/>
            <w:tcBorders>
              <w:top w:val="single" w:color="auto" w:sz="4" w:space="0"/>
              <w:left w:val="nil"/>
              <w:bottom w:val="single" w:color="auto" w:sz="4" w:space="0"/>
              <w:right w:val="single" w:color="auto" w:sz="4" w:space="0"/>
            </w:tcBorders>
            <w:shd w:val="clear" w:color="auto" w:fill="auto"/>
          </w:tcPr>
          <w:p>
            <w:pPr>
              <w:spacing w:line="440" w:lineRule="exact"/>
              <w:jc w:val="center"/>
              <w:rPr>
                <w:rFonts w:asciiTheme="minorEastAsia" w:hAnsiTheme="minorEastAsia" w:cstheme="minorEastAsia"/>
                <w:b/>
                <w:kern w:val="0"/>
                <w:szCs w:val="21"/>
              </w:rPr>
            </w:pPr>
            <w:r>
              <w:rPr>
                <w:rFonts w:hint="eastAsia" w:asciiTheme="minorEastAsia" w:hAnsiTheme="minorEastAsia" w:cstheme="minorEastAsia"/>
                <w:b/>
                <w:kern w:val="0"/>
                <w:szCs w:val="21"/>
                <w:lang w:bidi="ar"/>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624" w:beforeLines="20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第一学期</w:t>
            </w:r>
          </w:p>
        </w:tc>
        <w:tc>
          <w:tcPr>
            <w:tcW w:w="5282"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制定培养计划</w:t>
            </w:r>
          </w:p>
        </w:tc>
        <w:tc>
          <w:tcPr>
            <w:tcW w:w="709" w:type="dxa"/>
            <w:vMerge w:val="restart"/>
            <w:tcBorders>
              <w:top w:val="single" w:color="auto" w:sz="4" w:space="0"/>
              <w:left w:val="nil"/>
              <w:bottom w:val="single" w:color="auto" w:sz="4" w:space="0"/>
              <w:right w:val="single" w:color="auto" w:sz="4" w:space="0"/>
            </w:tcBorders>
            <w:shd w:val="clear" w:color="auto" w:fill="auto"/>
            <w:vAlign w:val="center"/>
          </w:tcPr>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学</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术</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交</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流</w:t>
            </w:r>
          </w:p>
        </w:tc>
        <w:tc>
          <w:tcPr>
            <w:tcW w:w="646" w:type="dxa"/>
            <w:vMerge w:val="restart"/>
            <w:tcBorders>
              <w:top w:val="single" w:color="auto" w:sz="4" w:space="0"/>
              <w:left w:val="nil"/>
              <w:bottom w:val="single" w:color="auto" w:sz="4" w:space="0"/>
              <w:right w:val="single" w:color="auto" w:sz="4" w:space="0"/>
            </w:tcBorders>
            <w:shd w:val="clear" w:color="auto" w:fill="auto"/>
            <w:vAlign w:val="center"/>
          </w:tcPr>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学</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术</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论</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文</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发</w:t>
            </w:r>
          </w:p>
          <w:p>
            <w:pPr>
              <w:spacing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5282"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集中课程学习</w:t>
            </w: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5282"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专业课学习</w:t>
            </w: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5282"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选题及文献综述</w:t>
            </w: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468" w:beforeLines="15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第二学期</w:t>
            </w: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选题及文献综述</w:t>
            </w:r>
          </w:p>
        </w:tc>
        <w:tc>
          <w:tcPr>
            <w:tcW w:w="567" w:type="dxa"/>
            <w:vMerge w:val="restart"/>
            <w:tcBorders>
              <w:top w:val="nil"/>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kern w:val="0"/>
                <w:szCs w:val="21"/>
              </w:rPr>
            </w:pP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实</w:t>
            </w: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践</w:t>
            </w: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能</w:t>
            </w: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力</w:t>
            </w: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训</w:t>
            </w:r>
          </w:p>
          <w:p>
            <w:pPr>
              <w:spacing w:line="440" w:lineRule="exact"/>
              <w:rPr>
                <w:rFonts w:asciiTheme="minorEastAsia" w:hAnsiTheme="minorEastAsia" w:cstheme="minorEastAsia"/>
                <w:kern w:val="0"/>
                <w:szCs w:val="21"/>
              </w:rPr>
            </w:pPr>
            <w:r>
              <w:rPr>
                <w:rFonts w:hint="eastAsia" w:asciiTheme="minorEastAsia" w:hAnsiTheme="minorEastAsia" w:cstheme="minorEastAsia"/>
                <w:kern w:val="0"/>
                <w:szCs w:val="21"/>
                <w:lang w:bidi="ar"/>
              </w:rPr>
              <w:t>练</w:t>
            </w: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专业课学习</w:t>
            </w:r>
          </w:p>
        </w:tc>
        <w:tc>
          <w:tcPr>
            <w:tcW w:w="567" w:type="dxa"/>
            <w:vMerge w:val="continue"/>
            <w:tcBorders>
              <w:top w:val="nil"/>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学位论文工作</w:t>
            </w:r>
          </w:p>
        </w:tc>
        <w:tc>
          <w:tcPr>
            <w:tcW w:w="567" w:type="dxa"/>
            <w:vMerge w:val="continue"/>
            <w:tcBorders>
              <w:top w:val="nil"/>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spacing w:line="440" w:lineRule="exact"/>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312" w:beforeLines="10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第三学期</w:t>
            </w: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开题</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学位论文工作</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312" w:beforeLines="10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第四学期</w:t>
            </w: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学位论文工作</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中期考核</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312" w:beforeLines="10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第五学期</w:t>
            </w: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学位论文工作</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471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学位论文撰写</w:t>
            </w:r>
          </w:p>
        </w:tc>
        <w:tc>
          <w:tcPr>
            <w:tcW w:w="567" w:type="dxa"/>
            <w:vMerge w:val="continue"/>
            <w:tcBorders>
              <w:top w:val="nil"/>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659" w:type="dxa"/>
            <w:vMerge w:val="restart"/>
            <w:tcBorders>
              <w:top w:val="nil"/>
              <w:left w:val="single" w:color="auto" w:sz="4" w:space="0"/>
              <w:bottom w:val="single" w:color="auto" w:sz="4" w:space="0"/>
              <w:right w:val="single" w:color="auto" w:sz="4" w:space="0"/>
            </w:tcBorders>
            <w:shd w:val="clear" w:color="auto" w:fill="auto"/>
          </w:tcPr>
          <w:p>
            <w:pPr>
              <w:spacing w:before="312" w:beforeLines="100" w:line="4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lang w:bidi="ar"/>
              </w:rPr>
              <w:t>第六学期</w:t>
            </w:r>
          </w:p>
        </w:tc>
        <w:tc>
          <w:tcPr>
            <w:tcW w:w="5282"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论文盲审</w:t>
            </w:r>
          </w:p>
        </w:tc>
        <w:tc>
          <w:tcPr>
            <w:tcW w:w="709"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5991" w:type="dxa"/>
            <w:gridSpan w:val="3"/>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提交答辩申请，进行论文答辩</w:t>
            </w:r>
          </w:p>
        </w:tc>
        <w:tc>
          <w:tcPr>
            <w:tcW w:w="646" w:type="dxa"/>
            <w:vMerge w:val="continue"/>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659" w:type="dxa"/>
            <w:vMerge w:val="continue"/>
            <w:tcBorders>
              <w:top w:val="nil"/>
              <w:left w:val="single" w:color="auto" w:sz="4" w:space="0"/>
              <w:bottom w:val="single" w:color="auto" w:sz="4" w:space="0"/>
              <w:right w:val="single" w:color="auto" w:sz="4" w:space="0"/>
            </w:tcBorders>
            <w:shd w:val="clear" w:color="auto" w:fill="auto"/>
          </w:tcPr>
          <w:p>
            <w:pPr>
              <w:spacing w:line="440" w:lineRule="exact"/>
              <w:rPr>
                <w:rFonts w:asciiTheme="minorEastAsia" w:hAnsiTheme="minorEastAsia" w:cstheme="minorEastAsia"/>
                <w:sz w:val="20"/>
                <w:szCs w:val="20"/>
              </w:rPr>
            </w:pPr>
          </w:p>
        </w:tc>
        <w:tc>
          <w:tcPr>
            <w:tcW w:w="6637" w:type="dxa"/>
            <w:gridSpan w:val="4"/>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heme="minorEastAsia" w:hAnsiTheme="minorEastAsia" w:cstheme="minorEastAsia"/>
                <w:kern w:val="0"/>
                <w:szCs w:val="21"/>
              </w:rPr>
            </w:pPr>
            <w:r>
              <w:rPr>
                <w:rFonts w:hint="eastAsia" w:asciiTheme="minorEastAsia" w:hAnsiTheme="minorEastAsia" w:cstheme="minorEastAsia"/>
                <w:kern w:val="0"/>
                <w:szCs w:val="21"/>
                <w:lang w:bidi="ar"/>
              </w:rPr>
              <w:t>申请毕业、申请学位</w:t>
            </w:r>
          </w:p>
        </w:tc>
      </w:tr>
    </w:tbl>
    <w:p>
      <w:pPr>
        <w:pStyle w:val="8"/>
        <w:widowControl/>
        <w:spacing w:line="440" w:lineRule="exact"/>
        <w:rPr>
          <w:rFonts w:hint="default" w:asciiTheme="minorEastAsia" w:hAnsiTheme="minorEastAsia" w:cstheme="minorEastAsia"/>
        </w:rPr>
      </w:pPr>
    </w:p>
    <w:sectPr>
      <w:pgSz w:w="11906" w:h="16838"/>
      <w:pgMar w:top="1588" w:right="1588"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Calibri Light">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8">
    <w:name w:val="Default"/>
    <w:basedOn w:val="1"/>
    <w:qFormat/>
    <w:uiPriority w:val="0"/>
    <w:pPr>
      <w:autoSpaceDE w:val="0"/>
      <w:autoSpaceDN w:val="0"/>
      <w:adjustRightInd w:val="0"/>
      <w:jc w:val="left"/>
    </w:pPr>
    <w:rPr>
      <w:rFonts w:hint="eastAsia" w:ascii="宋体" w:hAnsi="Calibri" w:eastAsia="宋体" w:cs="Times New Roman"/>
      <w:color w:val="000000"/>
      <w:kern w:val="0"/>
      <w:sz w:val="24"/>
    </w:rPr>
  </w:style>
  <w:style w:type="character" w:customStyle="1" w:styleId="9">
    <w:name w:val="页眉 Char"/>
    <w:basedOn w:val="5"/>
    <w:link w:val="4"/>
    <w:qFormat/>
    <w:uiPriority w:val="0"/>
    <w:rPr>
      <w:rFonts w:asciiTheme="minorHAnsi" w:hAnsiTheme="minorHAnsi" w:eastAsiaTheme="minorEastAsia" w:cstheme="minorBidi"/>
      <w:kern w:val="2"/>
      <w:sz w:val="18"/>
      <w:szCs w:val="18"/>
    </w:rPr>
  </w:style>
  <w:style w:type="character" w:customStyle="1" w:styleId="10">
    <w:name w:val="页脚 Char"/>
    <w:basedOn w:val="5"/>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7</Pages>
  <Words>700</Words>
  <Characters>3996</Characters>
  <Lines>33</Lines>
  <Paragraphs>9</Paragraphs>
  <TotalTime>0</TotalTime>
  <ScaleCrop>false</ScaleCrop>
  <LinksUpToDate>false</LinksUpToDate>
  <CharactersWithSpaces>4687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2019-09-05T10:23:00Z</dcterms:created>
  <dc:creator>Administrator</dc:creator>
  <cp:lastModifiedBy>纪美琳的 iPhone</cp:lastModifiedBy>
  <cp:lastPrinted>2018-09-05T22:35:00Z</cp:lastPrinted>
  <dcterms:modified xsi:type="dcterms:W3CDTF">2021-09-10T12:11:16Z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2052-11.14.0</vt:lpwstr>
  </property>
  <property fmtid="{D5CDD505-2E9C-101B-9397-08002B2CF9AE}" pid="3" name="ICV">
    <vt:lpwstr>33B6567F8C0095CCD5DA3A61E3E575DE</vt:lpwstr>
  </property>
</Properties>
</file>